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</w:t>
      </w:r>
      <w:r>
        <w:rPr>
          <w:rFonts w:hint="eastAsia" w:ascii="宋体" w:hAnsi="宋体" w:cs="宋体"/>
          <w:sz w:val="30"/>
          <w:szCs w:val="30"/>
        </w:rPr>
        <w:t>：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郑州市建筑业协会第一届第二次专家委员会工作会议暨</w:t>
      </w:r>
      <w:r>
        <w:rPr>
          <w:rFonts w:hint="eastAsia" w:ascii="宋体" w:hAnsi="宋体" w:cs="宋体"/>
          <w:b/>
          <w:bCs/>
          <w:sz w:val="32"/>
          <w:szCs w:val="32"/>
        </w:rPr>
        <w:t>绿色施工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实操</w:t>
      </w:r>
      <w:r>
        <w:rPr>
          <w:rFonts w:hint="eastAsia" w:ascii="宋体" w:hAnsi="宋体" w:cs="宋体"/>
          <w:b/>
          <w:bCs/>
          <w:sz w:val="32"/>
          <w:szCs w:val="32"/>
        </w:rPr>
        <w:t>培训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回执单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tbl>
      <w:tblPr>
        <w:tblStyle w:val="2"/>
        <w:tblW w:w="90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975"/>
        <w:gridCol w:w="3600"/>
        <w:gridCol w:w="1545"/>
        <w:gridCol w:w="118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514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545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185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是否观摩</w:t>
            </w:r>
          </w:p>
        </w:tc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是否专家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97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3600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54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97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3600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54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97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3600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54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97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3600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54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97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3600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54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97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3600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54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97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3600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54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97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3600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54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489" w:type="dxa"/>
            <w:gridSpan w:val="2"/>
          </w:tcPr>
          <w:p>
            <w:pPr>
              <w:spacing w:line="600" w:lineRule="exact"/>
              <w:jc w:val="center"/>
              <w:rPr>
                <w:rFonts w:hint="eastAsia" w:cs="Times New Roman"/>
              </w:rPr>
            </w:pPr>
          </w:p>
          <w:p>
            <w:pPr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发票信息</w:t>
            </w:r>
          </w:p>
        </w:tc>
        <w:tc>
          <w:tcPr>
            <w:tcW w:w="6330" w:type="dxa"/>
            <w:gridSpan w:val="3"/>
          </w:tcPr>
          <w:p>
            <w:pPr>
              <w:spacing w:line="60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开票信息：</w:t>
            </w:r>
          </w:p>
        </w:tc>
        <w:tc>
          <w:tcPr>
            <w:tcW w:w="1260" w:type="dxa"/>
          </w:tcPr>
          <w:p>
            <w:pPr>
              <w:spacing w:line="600" w:lineRule="exact"/>
              <w:rPr>
                <w:rFonts w:hint="eastAsia" w:cs="Times New Roman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  <w:t>注意事项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</w:rPr>
        <w:t>：</w:t>
      </w:r>
    </w:p>
    <w:p>
      <w:pPr>
        <w:spacing w:line="600" w:lineRule="exact"/>
        <w:jc w:val="left"/>
        <w:rPr>
          <w:rFonts w:hint="default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  <w:t>请将报名回执单于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10月29日下午16时前发送至zzsjx2014@126.com,并注明是否参加观摩，是否专家。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D63FC"/>
    <w:rsid w:val="288D63FC"/>
    <w:rsid w:val="5EE77FBD"/>
    <w:rsid w:val="681E3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2020-09-22T08:19:00Z</dcterms:created>
  <dc:creator>A-昵称叫筷子 besos</dc:creator>
  <cp:lastModifiedBy>A-昵称叫筷子 besos</cp:lastModifiedBy>
  <dcterms:modified xsi:type="dcterms:W3CDTF">2020-09-23T05:08:39Z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